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HAMADA RICHARD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TRINITY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1ST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Trinity Capital Inc.</w:t>
              </w:r>
            </w:hyperlink>
            <w:r>
              <w:rPr/>
              <w:t xml:space="preserve"> [ </w:t>
            </w:r>
            <w:r>
              <w:rPr>
                <w:rFonts w:ascii="Times;serif" w:hAnsi="Times;serif"/>
                <w:color w:val="0000FF"/>
                <w:sz w:val="24"/>
                <w:shd w:fill="FFFFFF" w:val="clear"/>
              </w:rPr>
              <w:t>TRIN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6,176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103,354</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shares issued under the Trinity Capital Inc. 2019 Non-Employee Director Restricted Stock Plan, as amended. Such restricted shares shall vest in full on the earlier of (1) June 10, 2027 or (2) the date immediately preceding the next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Sarah Stanton is signing on behalf of Mr. Hamada pursuant to the power of attorney dated December 16, 2021, which was previously filed with the Securities and Exchange Commission as an exhibit to the Form 3 Mr. Hamada filed on December 16, 2021.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Stanton, on behalf of Richard Hamada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0015" TargetMode="External"/><Relationship Id="rId5" Type="http://schemas.openxmlformats.org/officeDocument/2006/relationships/hyperlink" Target="http://www.sec.gov/cgi-bin/browse-edgar?action=getcompany&amp;CIK=0001786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3505</Characters>
  <CharactersWithSpaces>4098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