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TRINITY CAPITAL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001-39958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35-2670395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 N. 1st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302</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85004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374-5350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1020" w:hanging="51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20" w:hanging="51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20" w:hanging="51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20" w:hanging="51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TRIN</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7.875% Notes Due 2029</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TRINZ</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7.875% Notes Due 2029</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TRINI</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Amendment to the Trinity Capital Inc. 2019 Non-Employee Director Restricted Stock Plan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10, 2026, Trinity Capital Inc. (the “Company”) held its 2026 Annual Meeting of Stockholders (the “Annual Meeting”). At the Annual Meeting, the stockholders of the Company, upon recommendation of the Board of Directors of the Company (the “Board of Directors”), approved an amendment to the Trinity Capital Inc. 2019 Non-Employee Director Restricted Stock Plan, as amended, to increase the total number of shares available for issuance thereunder by 100,000 shares (from 120,000 shares to 220,000 shares).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text of such amendment to the Trinity Capital Inc. 2019 Non-Employee Director Restricted Stock Plan, as amended, which is filed as Exhibit 10.1 to this Current Report on Form 8-K and incorporated herein by reference. A more detailed summary of such amendment can be found in “Proposal 5: Approval of the Amendment to the Trinity Capital Inc. 2019 Non-Employee Director Restricted Stock Plan” in the Company’s definitive proxy statement filed with the Securities and Exchange Commission on April 30, 2026 (the “Proxy Statement”), which description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Annual Meeting, held on June 10, 2026, the Company submitted five matters to the vote of its stockholders, each of which is described in detail in the Company’s Proxy Statement. As of the close of business on April 13, 2026, the record date for the Annual Meeting, there were 89,030,050 shares of the Company’s common stock outstanding and entitled to vote at the Annual Meeting. A summary of the matters voted upon by the Company’s stockholders at the Annual Meeting is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320" w:firstLine="849"/>
        <w:spacing w:after="0" w:line="282" w:lineRule="auto"/>
        <w:rPr>
          <w:sz w:val="20"/>
          <w:szCs w:val="20"/>
          <w:color w:val="auto"/>
        </w:rPr>
      </w:pPr>
      <w:r>
        <w:rPr>
          <w:rFonts w:ascii="Times New Roman" w:cs="Times New Roman" w:eastAsia="Times New Roman" w:hAnsi="Times New Roman"/>
          <w:sz w:val="18"/>
          <w:szCs w:val="18"/>
          <w:color w:val="auto"/>
        </w:rPr>
        <w:t>The Company’s stockholders re-elected two directors to the Board of Directors to serve until the 2027 Annual Meeting of Stockholders and until their respective successors are duly elected and qualified. The following votes were taken in connection with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8"/>
        </w:trPr>
        <w:tc>
          <w:tcPr>
            <w:tcW w:w="33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18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2"/>
                <w:szCs w:val="22"/>
                <w:color w:val="auto"/>
              </w:rPr>
            </w:pPr>
          </w:p>
        </w:tc>
        <w:tc>
          <w:tcPr>
            <w:tcW w:w="1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100" w:type="dxa"/>
            <w:vAlign w:val="bottom"/>
          </w:tcPr>
          <w:p>
            <w:pPr>
              <w:spacing w:after="0"/>
              <w:rPr>
                <w:sz w:val="22"/>
                <w:szCs w:val="22"/>
                <w:color w:val="auto"/>
              </w:rPr>
            </w:pPr>
          </w:p>
        </w:tc>
      </w:tr>
      <w:tr>
        <w:trPr>
          <w:trHeight w:val="203"/>
        </w:trPr>
        <w:tc>
          <w:tcPr>
            <w:tcW w:w="3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Ronald E. Estes</w:t>
            </w:r>
          </w:p>
        </w:tc>
        <w:tc>
          <w:tcPr>
            <w:tcW w:w="1980" w:type="dxa"/>
            <w:vAlign w:val="bottom"/>
            <w:tcBorders>
              <w:top w:val="single" w:sz="8" w:color="CCEEFF"/>
            </w:tcBorders>
            <w:gridSpan w:val="2"/>
            <w:shd w:val="clear" w:color="auto" w:fill="CCEEFF"/>
          </w:tcPr>
          <w:p>
            <w:pPr>
              <w:jc w:val="right"/>
              <w:ind w:right="490"/>
              <w:spacing w:after="0" w:line="203" w:lineRule="exact"/>
              <w:rPr>
                <w:sz w:val="20"/>
                <w:szCs w:val="20"/>
                <w:color w:val="auto"/>
              </w:rPr>
            </w:pPr>
            <w:r>
              <w:rPr>
                <w:rFonts w:ascii="Times New Roman" w:cs="Times New Roman" w:eastAsia="Times New Roman" w:hAnsi="Times New Roman"/>
                <w:sz w:val="18"/>
                <w:szCs w:val="18"/>
                <w:color w:val="auto"/>
              </w:rPr>
              <w:t>25,048,579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2,291,232</w:t>
            </w:r>
          </w:p>
        </w:tc>
        <w:tc>
          <w:tcPr>
            <w:tcW w:w="1840" w:type="dxa"/>
            <w:vAlign w:val="bottom"/>
            <w:tcBorders>
              <w:top w:val="single" w:sz="8" w:color="CCEEFF"/>
            </w:tcBorders>
            <w:gridSpan w:val="2"/>
            <w:shd w:val="clear" w:color="auto" w:fill="CCEEFF"/>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1,153,238</w:t>
            </w:r>
          </w:p>
        </w:tc>
        <w:tc>
          <w:tcPr>
            <w:tcW w:w="2100" w:type="dxa"/>
            <w:vAlign w:val="bottom"/>
            <w:tcBorders>
              <w:top w:val="single" w:sz="8" w:color="CCEEFF"/>
            </w:tcBorders>
            <w:gridSpan w:val="2"/>
            <w:shd w:val="clear" w:color="auto" w:fill="CCEEFF"/>
          </w:tcPr>
          <w:p>
            <w:pPr>
              <w:jc w:val="center"/>
              <w:ind w:left="110"/>
              <w:spacing w:after="0" w:line="203" w:lineRule="exact"/>
              <w:rPr>
                <w:sz w:val="20"/>
                <w:szCs w:val="20"/>
                <w:color w:val="auto"/>
              </w:rPr>
            </w:pPr>
            <w:r>
              <w:rPr>
                <w:rFonts w:ascii="Times New Roman" w:cs="Times New Roman" w:eastAsia="Times New Roman" w:hAnsi="Times New Roman"/>
                <w:sz w:val="18"/>
                <w:szCs w:val="18"/>
                <w:color w:val="auto"/>
              </w:rPr>
              <w:t>32,794,620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Michael E. Zacharia</w:t>
            </w:r>
          </w:p>
        </w:tc>
        <w:tc>
          <w:tcPr>
            <w:tcW w:w="19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25,112,395</w:t>
            </w:r>
          </w:p>
        </w:tc>
        <w:tc>
          <w:tcPr>
            <w:tcW w:w="18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2,221,279</w:t>
            </w:r>
          </w:p>
        </w:tc>
        <w:tc>
          <w:tcPr>
            <w:tcW w:w="18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1,159,375</w:t>
            </w:r>
          </w:p>
        </w:tc>
        <w:tc>
          <w:tcPr>
            <w:tcW w:w="2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32,794,620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-294005</wp:posOffset>
            </wp:positionV>
            <wp:extent cx="6858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Ernst &amp; Young LLP</w:t>
      </w:r>
    </w:p>
    <w:p>
      <w:pPr>
        <w:spacing w:after="0" w:line="229" w:lineRule="exact"/>
        <w:rPr>
          <w:sz w:val="20"/>
          <w:szCs w:val="20"/>
          <w:color w:val="auto"/>
        </w:rPr>
      </w:pPr>
    </w:p>
    <w:p>
      <w:pPr>
        <w:ind w:right="740" w:firstLine="84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ratification of the selection of Ernst &amp; Young LLP to serve as the Company’s independent registered public accounting firm for the fiscal year ending December 31, 2026. The following vote was taken in connection with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30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416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59,435,781</w:t>
            </w:r>
          </w:p>
        </w:tc>
        <w:tc>
          <w:tcPr>
            <w:tcW w:w="32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670,658</w:t>
            </w:r>
          </w:p>
        </w:tc>
        <w:tc>
          <w:tcPr>
            <w:tcW w:w="3840" w:type="dxa"/>
            <w:vAlign w:val="bottom"/>
            <w:gridSpan w:val="2"/>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1,181,230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on non-binding and advisory basis, of compensation of named executive officers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Company’s stockholders approved, on a non-binding and advisory basis, the compensation of the Company’s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vote was taken in connection with this proposal: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37"/>
        </w:trPr>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25,340,645</w:t>
            </w:r>
          </w:p>
        </w:tc>
        <w:tc>
          <w:tcPr>
            <w:tcW w:w="27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1,548,541</w:t>
            </w:r>
          </w:p>
        </w:tc>
        <w:tc>
          <w:tcPr>
            <w:tcW w:w="2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1,603,863</w:t>
            </w:r>
          </w:p>
        </w:tc>
        <w:tc>
          <w:tcPr>
            <w:tcW w:w="3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32,794,620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-165100</wp:posOffset>
            </wp:positionV>
            <wp:extent cx="1028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143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-165100</wp:posOffset>
            </wp:positionV>
            <wp:extent cx="11112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11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-165100</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3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 Approval, on non-binding and advisory basis, of the frequency of future non-binding, advisory votes to approve compensation of named executive officers</w:t>
      </w:r>
    </w:p>
    <w:p>
      <w:pPr>
        <w:spacing w:after="0" w:line="159" w:lineRule="exact"/>
        <w:rPr>
          <w:sz w:val="20"/>
          <w:szCs w:val="20"/>
          <w:color w:val="auto"/>
        </w:rPr>
      </w:pPr>
    </w:p>
    <w:p>
      <w:pPr>
        <w:ind w:right="140" w:firstLine="84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and advisory basis, the frequency of one year for future non-binding, advisory votes to approve compensation of the Company’s named executive officers. The following vote was taken in connection with this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20" w:type="dxa"/>
            <w:vAlign w:val="bottom"/>
          </w:tcPr>
          <w:p>
            <w:pPr>
              <w:spacing w:after="0"/>
              <w:rPr>
                <w:sz w:val="20"/>
                <w:szCs w:val="20"/>
                <w:color w:val="auto"/>
              </w:rPr>
            </w:pPr>
          </w:p>
        </w:tc>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37"/>
        </w:trPr>
        <w:tc>
          <w:tcPr>
            <w:tcW w:w="24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25,569,844</w:t>
            </w:r>
          </w:p>
        </w:tc>
        <w:tc>
          <w:tcPr>
            <w:tcW w:w="1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861,720</w:t>
            </w:r>
          </w:p>
        </w:tc>
        <w:tc>
          <w:tcPr>
            <w:tcW w:w="1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506,976</w:t>
            </w:r>
          </w:p>
        </w:tc>
        <w:tc>
          <w:tcPr>
            <w:tcW w:w="23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1,554,509</w:t>
            </w:r>
          </w:p>
        </w:tc>
        <w:tc>
          <w:tcPr>
            <w:tcW w:w="2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32,794,620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 Approval of the amendment to the Trinity Capital Inc. 2019 Non-Employee Director Restricted Stock Plan</w:t>
      </w:r>
    </w:p>
    <w:p>
      <w:pPr>
        <w:spacing w:after="0" w:line="229" w:lineRule="exact"/>
        <w:rPr>
          <w:sz w:val="20"/>
          <w:szCs w:val="20"/>
          <w:color w:val="auto"/>
        </w:rPr>
      </w:pPr>
    </w:p>
    <w:p>
      <w:pPr>
        <w:jc w:val="both"/>
        <w:ind w:right="340" w:firstLine="84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 proposal to amend the Trinity Capital Inc. 2019 Non-Employee Director Restricted Stock Plan, as amended. The following vote was taken in connection with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0"/>
                <w:szCs w:val="20"/>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120" w:type="dxa"/>
            <w:vAlign w:val="bottom"/>
          </w:tcPr>
          <w:p>
            <w:pPr>
              <w:spacing w:after="0"/>
              <w:rPr>
                <w:sz w:val="20"/>
                <w:szCs w:val="20"/>
                <w:color w:val="auto"/>
              </w:rPr>
            </w:pPr>
          </w:p>
        </w:tc>
      </w:tr>
      <w:tr>
        <w:trPr>
          <w:trHeight w:val="236"/>
        </w:trPr>
        <w:tc>
          <w:tcPr>
            <w:tcW w:w="2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25,353,161</w:t>
            </w:r>
          </w:p>
        </w:tc>
        <w:tc>
          <w:tcPr>
            <w:tcW w:w="27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1,509,816</w:t>
            </w:r>
          </w:p>
        </w:tc>
        <w:tc>
          <w:tcPr>
            <w:tcW w:w="27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1,630,072</w:t>
            </w:r>
          </w:p>
        </w:tc>
        <w:tc>
          <w:tcPr>
            <w:tcW w:w="3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32,794,620</w:t>
            </w:r>
          </w:p>
        </w:tc>
        <w:tc>
          <w:tcPr>
            <w:tcW w:w="120" w:type="dxa"/>
            <w:vAlign w:val="bottom"/>
          </w:tcPr>
          <w:p>
            <w:pPr>
              <w:spacing w:after="0"/>
              <w:rPr>
                <w:sz w:val="20"/>
                <w:szCs w:val="20"/>
                <w:color w:val="auto"/>
              </w:rPr>
            </w:pPr>
          </w:p>
        </w:tc>
      </w:tr>
      <w:tr>
        <w:trPr>
          <w:trHeight w:val="1195"/>
        </w:trPr>
        <w:tc>
          <w:tcPr>
            <w:tcW w:w="2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-936625</wp:posOffset>
            </wp:positionV>
            <wp:extent cx="9398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14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-936625</wp:posOffset>
            </wp:positionV>
            <wp:extent cx="8572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-936625</wp:posOffset>
            </wp:positionV>
            <wp:extent cx="774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Exhibit Number</w:t>
            </w:r>
          </w:p>
        </w:tc>
        <w:tc>
          <w:tcPr>
            <w:tcW w:w="440" w:type="dxa"/>
            <w:vAlign w:val="bottom"/>
          </w:tcPr>
          <w:p>
            <w:pPr>
              <w:spacing w:after="0"/>
              <w:rPr>
                <w:sz w:val="24"/>
                <w:szCs w:val="24"/>
                <w:color w:val="auto"/>
              </w:rPr>
            </w:pPr>
          </w:p>
        </w:tc>
        <w:tc>
          <w:tcPr>
            <w:tcW w:w="8540" w:type="dxa"/>
            <w:vAlign w:val="bottom"/>
            <w:tcBorders>
              <w:bottom w:val="single" w:sz="8" w:color="auto"/>
            </w:tcBorders>
            <w:gridSpan w:val="2"/>
          </w:tcPr>
          <w:p>
            <w:pPr>
              <w:ind w:left="38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260" w:type="dxa"/>
            <w:vAlign w:val="bottom"/>
          </w:tcPr>
          <w:p>
            <w:pPr>
              <w:jc w:val="right"/>
              <w:ind w:right="83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14"/>
                <w:szCs w:val="14"/>
                <w:color w:val="auto"/>
              </w:rPr>
            </w:pPr>
          </w:p>
        </w:tc>
        <w:tc>
          <w:tcPr>
            <w:tcW w:w="70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Amendment No. 2 to the Trinity Capital Inc. 2019 Non-Employee Director Restricted Stock Plan.</w:t>
            </w:r>
          </w:p>
        </w:tc>
        <w:tc>
          <w:tcPr>
            <w:tcW w:w="1480" w:type="dxa"/>
            <w:vAlign w:val="bottom"/>
          </w:tcPr>
          <w:p>
            <w:pPr>
              <w:spacing w:after="0"/>
              <w:rPr>
                <w:sz w:val="14"/>
                <w:szCs w:val="14"/>
                <w:color w:val="auto"/>
              </w:rPr>
            </w:pPr>
          </w:p>
        </w:tc>
      </w:tr>
      <w:tr>
        <w:trPr>
          <w:trHeight w:val="237"/>
        </w:trPr>
        <w:tc>
          <w:tcPr>
            <w:tcW w:w="22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ind w:left="16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Trinity Capital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Sarah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Sarah Stanton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Plan Amendment</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Amendment No.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TRINITY CAPITAL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2019 NON-EMPLOYEE DIRECTOR RESTRICTED STOCK PLAN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the power reserved to it in Section 9(A) of the Trinity Capital Inc. 2019 Non-Employee Director Restricted Stock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Trinity Capital Inc. hereby amends the Plan, effective June 10, 2026, as follows: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Section 3 is hereby amended and restated in its entirety to read as follows: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SHARES SUBJECT TO THE PLAN</w:t>
      </w:r>
    </w:p>
    <w:p>
      <w:pPr>
        <w:spacing w:after="0" w:line="3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The shares subject to this Plan shall be shares of the Company’s common stock, par value $0.001 per share (“Shares”). Subject to the provisions hereof concerning adjustment, the total number of Shares that may be awarded as restricted stock under this Plan shall not exceed two hundred and twenty thousand (220,000) Shares. Any Shares that were granted pursuant to an award of restricted stock under this Plan but that are forfeited pursuant to the terms of the Plan or an award agreement shall again be available under this Plan. Shares used for tax withholding shall not again be available under this Plan. Shares may be made available from authorized, un-issued or reacquired stock or partly from each.”</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To record the adoption of this Amendment No. 2 to the Plan, Trinity Capital Inc. has authorized its officers to affix its corporate name effective as of the date indicated above.</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TRINITY CAPITAL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Testa</w:t>
            </w:r>
          </w:p>
        </w:tc>
      </w:tr>
      <w:tr>
        <w:trPr>
          <w:trHeight w:val="243"/>
        </w:trPr>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Testa</w:t>
            </w:r>
          </w:p>
        </w:tc>
      </w:tr>
      <w:tr>
        <w:trPr>
          <w:trHeight w:val="243"/>
        </w:trPr>
        <w:tc>
          <w:tcPr>
            <w:tcW w:w="60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2026-06-12T15:35:44Z</dcterms:created>
  <dcterms:modified xsi:type="dcterms:W3CDTF">2026-06-12T15:35:44Z</dcterms:modified>
</cp:coreProperties>
</file>