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Estes Ronald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TRINITY CAPITAL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N. 1ST STREET, SUITE 302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PHOENIX</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85004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Trinity Capital Inc.</w:t>
              </w:r>
            </w:hyperlink>
            <w:r>
              <w:rPr/>
              <w:t xml:space="preserve"> [ </w:t>
            </w:r>
            <w:r>
              <w:rPr>
                <w:rFonts w:ascii="Times;serif" w:hAnsi="Times;serif"/>
                <w:color w:val="0000FF"/>
                <w:sz w:val="24"/>
                <w:shd w:fill="FFFFFF" w:val="clear"/>
              </w:rPr>
              <w:t>TRIN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75"/>
        <w:gridCol w:w="914"/>
        <w:gridCol w:w="784"/>
        <w:gridCol w:w="607"/>
        <w:gridCol w:w="345"/>
        <w:gridCol w:w="876"/>
        <w:gridCol w:w="438"/>
        <w:gridCol w:w="603"/>
        <w:gridCol w:w="1313"/>
        <w:gridCol w:w="983"/>
        <w:gridCol w:w="116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1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6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6,176</w:t>
            </w:r>
            <w:r>
              <w:rPr>
                <w:rFonts w:ascii="Times;serif" w:hAnsi="Times;serif"/>
                <w:color w:val="008000"/>
                <w:position w:val="7"/>
                <w:sz w:val="16"/>
                <w:sz w:val="20"/>
                <w:shd w:fill="FFFFFF" w:val="clear"/>
              </w:rPr>
              <w:t>(1)</w:t>
            </w:r>
            <w:r>
              <w:rPr/>
              <w:t xml:space="preserve"> </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44,374.46</w:t>
            </w:r>
            <w:r>
              <w:rPr>
                <w:rFonts w:ascii="Times;serif" w:hAnsi="Times;serif"/>
                <w:color w:val="008000"/>
                <w:position w:val="7"/>
                <w:sz w:val="16"/>
                <w:sz w:val="20"/>
                <w:shd w:fill="FFFFFF" w:val="clear"/>
              </w:rPr>
              <w:t>(2)(3)</w:t>
            </w:r>
            <w:r>
              <w:rPr/>
              <w:t xml:space="preserve"> </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06/11/2026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10,615</w:t>
            </w:r>
            <w:r>
              <w:rPr>
                <w:rFonts w:ascii="Times;serif" w:hAnsi="Times;serif"/>
                <w:color w:val="008000"/>
                <w:position w:val="7"/>
                <w:sz w:val="16"/>
                <w:sz w:val="20"/>
                <w:shd w:fill="FFFFFF" w:val="clear"/>
              </w:rPr>
              <w:t>(3)</w:t>
            </w:r>
            <w:r>
              <w:rPr/>
              <w:t xml:space="preserve"> </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Estes Revocable Trust, dated January 12, 1990</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shares issued under the Trinity Capital Inc. 2019 Non-Employee Director Restricted Stock Plan, as amended. Such restricted shares shall vest in full on the earlier of (1) June 10, 2027 or (2) the date immediately preceding the next annual meeting of stockholders.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shares acquired pursuant to broker dividend reinvestment program that reinvests Trinity Capital Inc. dividends on substantially similar terms as those of the Trinity Capital Inc. distribution reinvestment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transferred shares directly owned in his individual name to the Estes Revocable Trust, dated January 12, 1990.</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Sarah Stanton is signing on behalf of Mr. Estes pursuant to the power of attorney dated March 11, 2021, which was previously filed with the Securities and Exchange Commission as an exhibit to the Form 4 Mr. Estes filed on March 12, 2021.</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Sarah Stanton, on behalf of Ronald E. Estes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6067" TargetMode="External"/><Relationship Id="rId5" Type="http://schemas.openxmlformats.org/officeDocument/2006/relationships/hyperlink" Target="http://www.sec.gov/cgi-bin/browse-edgar?action=getcompany&amp;CIK=00017861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725</Words>
  <Characters>3895</Characters>
  <CharactersWithSpaces>4550</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